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E99A" w14:textId="59A28E7C" w:rsidR="00EE4C58" w:rsidRPr="00EE4C58" w:rsidRDefault="00E81450" w:rsidP="00C5169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>: Co se dělo na trzích v červenci?</w:t>
      </w:r>
    </w:p>
    <w:p w14:paraId="11EF7FC3" w14:textId="69168F26" w:rsidR="000D54B1" w:rsidRPr="000D54B1" w:rsidRDefault="001E1C75" w:rsidP="000D54B1">
      <w:pPr>
        <w:spacing w:line="36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Globální </w:t>
      </w:r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trhy v červenci zaznamenaly zisky. Ty podpořilo uvolnění obchodních napětí, odoln</w:t>
      </w:r>
      <w:r w:rsidR="00E175C9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é</w:t>
      </w:r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zisky podniků a selektivní podpor</w:t>
      </w:r>
      <w:r w:rsidR="00E175C9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a</w:t>
      </w:r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politiky. Evropské a britské akcie se zotavily slabému růstu a přetrvávající inflaci navzdory, zatímco USA překonaly očekávání díky silným datům k HDP a optimismu ohledně daňové reformy. Trhy v </w:t>
      </w:r>
      <w:proofErr w:type="spellStart"/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asijsko</w:t>
      </w:r>
      <w:proofErr w:type="spellEnd"/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</w:t>
      </w:r>
      <w:r w:rsidR="00E81450" w:rsidRP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–</w:t>
      </w:r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pacifickém regionu sílily, vedenou Čínou, Japonskem a Jižní Koreou, ale Indie zaostávala. Rozvíjející se trhy vykázaly smíšené výsledky, přičemž akcie zemí </w:t>
      </w:r>
      <w:proofErr w:type="spellStart"/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ASEANu</w:t>
      </w:r>
      <w:proofErr w:type="spellEnd"/>
      <w:r w:rsidR="00E8145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vzrostly díky obchodním dohodám. Brazílie se potýkala s obavami z inflace a s geopolitickým napětím. Trhy s nástroji s pevným výnosem poklesly, protože jestřábí komentáře centrálních bank zatížily státní dluhopisy. Korporátní dluhopisy přinesly ale pozitivní výnosy. </w:t>
      </w:r>
    </w:p>
    <w:p w14:paraId="531907A2" w14:textId="77777777" w:rsidR="00B41018" w:rsidRDefault="00B41018" w:rsidP="00B41018"/>
    <w:p w14:paraId="3DAEEF39" w14:textId="5AEB6057" w:rsidR="001F7607" w:rsidRPr="00FA03F4" w:rsidRDefault="001E1C75" w:rsidP="00FA03F4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Evropa</w:t>
      </w:r>
    </w:p>
    <w:p w14:paraId="7ADC851B" w14:textId="77777777" w:rsidR="00FA03F4" w:rsidRPr="00FA03F4" w:rsidRDefault="00FA03F4" w:rsidP="00FA03F4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5F11E72D" w14:textId="77777777" w:rsidR="00960B80" w:rsidRPr="00960B80" w:rsidRDefault="00960B80" w:rsidP="00960B80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Evropské akciové trhy se v červenci zotavily a částečně vyrovnaly ztráty z června. Růst táhly silné zisky ve finančním sektoru a rostoucí ceny ropy, což podpořilo energetické akcie. Naopak technologický sektor zaostával kvůli slabším výsledkům za druhé čtvrtletí. Z makro pohledu se růst HDP eurozóny prudce zpomalil na pouhých 0,1 % mezikvartálně. Německo a Itálie také zaznamenaly pokles. Španělsko vyniklo robustním růstem, zatímco Francie překvapila mírným zlepšením. Inflace se udržela na </w:t>
      </w:r>
      <w:proofErr w:type="gramStart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>2%</w:t>
      </w:r>
      <w:proofErr w:type="gramEnd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cíli Evropské centrální banky, podporována nižšími náklady na energii a silnějším eurem. ECB ponechala úrokové sazby beze změny a zaujala opatrný postoj vzhledem k přetrvávajícímu globálnímu obchodnímu napětí. Klíčovým vývojem byla obchodní dohoda mezi EU a USA, která stanovila celní sazbu o 15 % vyšší, než se očekávalo. Zatímco v některých odvětvích, jako je automobilový průmysl, došlo ke snížení cel, EU se zavázala k významným strategickým nákupům a investicím v USA, což odráží pragmatický politický kompromis v náročných podmínkách. </w:t>
      </w:r>
    </w:p>
    <w:p w14:paraId="1C915947" w14:textId="48C90B77" w:rsidR="0040688D" w:rsidRDefault="007C1008" w:rsidP="0040688D">
      <w:pPr>
        <w:spacing w:line="360" w:lineRule="auto"/>
        <w:jc w:val="both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sz w:val="22"/>
          <w:szCs w:val="22"/>
          <w:lang w:eastAsia="ja-JP"/>
        </w:rPr>
        <w:br/>
      </w:r>
      <w:r w:rsidR="00960B80"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Spojené království</w:t>
      </w:r>
    </w:p>
    <w:p w14:paraId="30D73F22" w14:textId="77777777" w:rsidR="007C1008" w:rsidRPr="007C1008" w:rsidRDefault="007C1008" w:rsidP="007C1008">
      <w:pPr>
        <w:spacing w:line="240" w:lineRule="auto"/>
        <w:jc w:val="both"/>
        <w:rPr>
          <w:rFonts w:ascii="Invesco Interstate Light" w:eastAsia="MS Mincho" w:hAnsi="Invesco Interstate Light" w:cs="Cambria"/>
          <w:b/>
          <w:bCs/>
          <w:lang w:eastAsia="ja-JP"/>
        </w:rPr>
      </w:pPr>
    </w:p>
    <w:p w14:paraId="6EEB7CC6" w14:textId="06F519A0" w:rsidR="007C1008" w:rsidRDefault="00960B80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Britské akcie zakončily červenec v pozitivním duchu, když index FTSE 100 překonal hranici 9 000 bodů, a to díky silným firemním ziskům. Celkově to však v ekonomice bylo náročnější. Britská inflace v červnu nečekaně vzrostla na 3,6 % v důsledku vyšších nákladů na pohonné hmoty a dopravu. Vzrostla i jádrová inflace, což navzdory zpomalení růstu zvýšilo tlak na Bank </w:t>
      </w:r>
      <w:proofErr w:type="spellStart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>of</w:t>
      </w:r>
      <w:proofErr w:type="spellEnd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>England</w:t>
      </w:r>
      <w:proofErr w:type="spellEnd"/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. Ekonomika se znovu propadla. Podmínky na trhu práce se zhoršily, nezaměstnanost vzrostla na 4,7 % a počet volných pracovních míst klesl, což spolu s </w:t>
      </w:r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 xml:space="preserve">pomalejším růstem mezd signalizuje ochlazení trhu práce a posiluje očekávání snížení úrokových sazeb v průběhu tohoto roku. </w:t>
      </w:r>
    </w:p>
    <w:p w14:paraId="43B32BB9" w14:textId="77777777" w:rsidR="007C1008" w:rsidRPr="007C1008" w:rsidRDefault="007C1008" w:rsidP="007C1008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6C682DE" w14:textId="5B2BCA80" w:rsidR="00B55260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USA</w:t>
      </w:r>
    </w:p>
    <w:p w14:paraId="57229542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7A3E1D49" w14:textId="77777777" w:rsidR="00960B80" w:rsidRPr="00960B80" w:rsidRDefault="00960B80" w:rsidP="00960B80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>Americké akciové trhy v červenci posílily a překonaly světové protějšky, protože optimismus ohledně daňové reformy a uvolnění obchodních napětí zlepšil náladu investorů. Zisky měly širokou základnu, v čele s technologickým sektorem, který nadále těžil ze silné poptávky související s umělou inteligencí. Americká ekonomika ve druhém čtvrtletí rostla anualizovaným tempem 3 %, čímž překonala očekávání, a to díky příznivé dynamice obchodu. Slabá data o zaměstnanosti a přetrvávající inflace, která vzrostla na 2,7 %, však podpořily spekulace trhu o zásahu Federálního rezervního systému v září. Ačkoli Fed úrokové sazby nezměnil, nesouhlasné hlasy a opatrné komentáře signalizovaly rostoucí tlak na jejich snížení. Navzdory smíšeným ukazatelům se zlepšila důvěra spotřebitelů a aktivita v sektoru služeb, což posílilo názor, že oživení je, ale nerovnoměrné.</w:t>
      </w:r>
    </w:p>
    <w:p w14:paraId="52B28101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DA7EC84" w14:textId="4151D9F9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Asie</w:t>
      </w:r>
    </w:p>
    <w:p w14:paraId="1DD01CBD" w14:textId="77777777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43D2DD21" w14:textId="77777777" w:rsidR="00960B80" w:rsidRPr="00960B80" w:rsidRDefault="00960B80" w:rsidP="00960B80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960B8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Akcie v asijsko-pacifickém regionu zakončily červenec v kladných číslech, i když výkonnost jednotlivých trhů se lišila. Zisky v Číně, Japonsku a Jižní Koreji byly poháněny optimismem v případě obchodních jednání a také silným technologickým sektorem. Čínské akcie vzrostly, protože úřady se zavázaly omezit nadměrnou konkurenci na trhu a podpořit modernizaci průmyslu, a to i přes přetrvávající deflační tlaky. Japonsko těží z nové obchodní dohody mezi USA a Japonskem a ze silných firemních zisků, i když politická nejistota tlumí sentiment. Jižní Korea posílila díky reformám v oblasti správy a řízení společností a získání významné zakázky na polovodiče společností Samsung. Pokrok zaznamenal také Tchaj-wan, tažený technologickým sektorem a obnovitelnými zdroji energie. </w:t>
      </w:r>
    </w:p>
    <w:p w14:paraId="0536691E" w14:textId="77777777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</w:p>
    <w:p w14:paraId="73DD3E49" w14:textId="69F587D0" w:rsidR="007C1008" w:rsidRDefault="007C1008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Rozvíjející se trhy</w:t>
      </w:r>
    </w:p>
    <w:p w14:paraId="19F9C283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5A46375" w14:textId="77777777" w:rsidR="00843039" w:rsidRPr="00843039" w:rsidRDefault="00843039" w:rsidP="0084303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Akcie rozvíjejících se trhů v červenci zaznamenaly zisky, které byly podpořeny silným výkonem trhů ASEAN. Thajsko, Indonésie a Singapur posílily díky dohodnutým obchodním dohodám, robustním ziskům a podpůrným politickým opatřením, včetně snížení úrokových sazeb a lepších než očekávaných údajů o HDP. Zájezdy čínských turistů a optimismus ohledně obchodních jednání s USA dále zlepšily sentiment v Thajsku. Naproti tomu brazilské trhy oslabily, protože eskalující napětí s USA a překvapivý růst inflace oslabily důvěru investorů. Turecké akcie posílily po snížení úrokových sazeb centrální bankou a obnoveném závazku k </w:t>
      </w:r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>dezinflaci, přičemž široký růst zaznamenaly finanční, průmyslové a spotřebitelské sektory. Indie zaznamenala mírný pokles, který byl způsoben slabými finančními výsledky a přetrvávající nejistotou v oblasti obchodu, ačkoli automobilový sektor těžil z nové obchodní dohody mezi Velkou Británií a Indií.</w:t>
      </w:r>
    </w:p>
    <w:p w14:paraId="3015826A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41B173C" w14:textId="2A1D0DE9" w:rsidR="007C1008" w:rsidRDefault="00843039" w:rsidP="007C1008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Cambria"/>
          <w:b/>
          <w:bCs/>
          <w:sz w:val="22"/>
          <w:szCs w:val="22"/>
          <w:lang w:eastAsia="ja-JP"/>
        </w:rPr>
        <w:t>Dluhopisy</w:t>
      </w:r>
    </w:p>
    <w:p w14:paraId="0F280C8F" w14:textId="77777777" w:rsidR="007C1008" w:rsidRDefault="007C1008" w:rsidP="00651AAE">
      <w:pPr>
        <w:autoSpaceDE w:val="0"/>
        <w:autoSpaceDN w:val="0"/>
        <w:adjustRightInd w:val="0"/>
        <w:spacing w:line="24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8D47166" w14:textId="77777777" w:rsidR="00843039" w:rsidRPr="00843039" w:rsidRDefault="00843039" w:rsidP="0084303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Úrokové sazby zůstaly stabilní jak v USA, tak v eurozóně, nicméně vládní dluhopisy oslabily, protože jestřábí komentáře předsedy Federálního rezervního systému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Jeromea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Powella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a prezidentky ECB Christine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Lagardeové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vedly investory k tomu, aby přehodnotili pravděpodobnost krátkodobého snížení sazeb. Americké státní dluhopisy, německé bundy a britské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gilts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zaznamenaly za uplynulý měsíc negativní výnosy. Americká ekonomika prokázala odolnost a ve druhém čtvrtletí rostla anualizovaným tempem 3 %, zatímco inflace vzrostla na 2,7 %. Nová obchodní dohoda mezi USA a EU zavedla 15% dovozní clo na většinu zboží z EU, přičemž Brusel učinil většinu ústupků. Ve Velké Británii inflace v červnu vzrostla na 3,6 %, ale vzhledem k poklesu ekonomiky a známkám oslabení trhu práce trhy zůstávají přesvědčeny, že Bank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of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>England</w:t>
      </w:r>
      <w:proofErr w:type="spellEnd"/>
      <w:r w:rsidRPr="0084303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 srpnu sazby sníží. Trhy s podnikovými dluhopisy přinesly pozitivní zisky, které byly taženy vysokým výnosem a podporovány silnou poptávkou investorů.</w:t>
      </w:r>
    </w:p>
    <w:p w14:paraId="72CF18B4" w14:textId="77777777" w:rsidR="00B41018" w:rsidRDefault="00B4101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153253D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518F14CC" w14:textId="77777777" w:rsidR="00AA2953" w:rsidRDefault="008F44AF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429F6599" w14:textId="77777777" w:rsidR="0020026C" w:rsidRDefault="0020026C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b/>
          <w:sz w:val="22"/>
          <w:szCs w:val="22"/>
        </w:rPr>
      </w:pPr>
    </w:p>
    <w:p w14:paraId="6F193651" w14:textId="17CD8621" w:rsidR="00861B48" w:rsidRPr="00AA2953" w:rsidRDefault="002355DD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lastRenderedPageBreak/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6206EFAC" w14:textId="0E12027C" w:rsidR="002355DD" w:rsidRPr="0020026C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4ADA8001" w14:textId="78096E9A" w:rsidR="00B84512" w:rsidRPr="00907B79" w:rsidRDefault="002355DD" w:rsidP="0020026C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B84512" w:rsidRPr="00907B79" w:rsidSect="004854C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D59D" w14:textId="77777777" w:rsidR="0094134A" w:rsidRDefault="0094134A">
      <w:r>
        <w:separator/>
      </w:r>
    </w:p>
  </w:endnote>
  <w:endnote w:type="continuationSeparator" w:id="0">
    <w:p w14:paraId="4D6DD50E" w14:textId="77777777" w:rsidR="0094134A" w:rsidRDefault="0094134A">
      <w:r>
        <w:continuationSeparator/>
      </w:r>
    </w:p>
  </w:endnote>
  <w:endnote w:type="continuationNotice" w:id="1">
    <w:p w14:paraId="7335BD36" w14:textId="77777777" w:rsidR="0094134A" w:rsidRDefault="009413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36CC" w14:textId="77777777" w:rsidR="0094134A" w:rsidRDefault="0094134A">
      <w:r>
        <w:separator/>
      </w:r>
    </w:p>
  </w:footnote>
  <w:footnote w:type="continuationSeparator" w:id="0">
    <w:p w14:paraId="39DA7BB8" w14:textId="77777777" w:rsidR="0094134A" w:rsidRDefault="0094134A">
      <w:r>
        <w:continuationSeparator/>
      </w:r>
    </w:p>
  </w:footnote>
  <w:footnote w:type="continuationNotice" w:id="1">
    <w:p w14:paraId="78854B3E" w14:textId="77777777" w:rsidR="0094134A" w:rsidRDefault="009413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36A2DA99" w:rsidR="00702C33" w:rsidRPr="000730A6" w:rsidRDefault="0040688D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</w:t>
    </w:r>
    <w:r w:rsidR="00E81450">
      <w:rPr>
        <w:color w:val="000000"/>
        <w:sz w:val="28"/>
        <w:szCs w:val="28"/>
      </w:rPr>
      <w:t>2</w:t>
    </w:r>
    <w:r w:rsidR="0083625E">
      <w:rPr>
        <w:color w:val="000000"/>
        <w:sz w:val="28"/>
        <w:szCs w:val="28"/>
      </w:rPr>
      <w:t>.</w:t>
    </w:r>
    <w:r w:rsidR="00E81450">
      <w:rPr>
        <w:color w:val="000000"/>
        <w:sz w:val="28"/>
        <w:szCs w:val="28"/>
      </w:rPr>
      <w:t>8</w:t>
    </w:r>
    <w:r w:rsidR="00BE4A7F">
      <w:rPr>
        <w:color w:val="000000"/>
        <w:sz w:val="28"/>
        <w:szCs w:val="28"/>
      </w:rPr>
      <w:t>.</w:t>
    </w:r>
    <w:r w:rsidR="0083625E">
      <w:rPr>
        <w:color w:val="000000"/>
        <w:sz w:val="28"/>
        <w:szCs w:val="28"/>
      </w:rPr>
      <w:t>202</w:t>
    </w:r>
    <w:r w:rsidR="00055A79">
      <w:rPr>
        <w:color w:val="000000"/>
        <w:sz w:val="28"/>
        <w:szCs w:val="28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312"/>
    <w:multiLevelType w:val="hybridMultilevel"/>
    <w:tmpl w:val="B638F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1371280"/>
    <w:multiLevelType w:val="hybridMultilevel"/>
    <w:tmpl w:val="F462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2407"/>
    <w:multiLevelType w:val="hybridMultilevel"/>
    <w:tmpl w:val="31CE0928"/>
    <w:lvl w:ilvl="0" w:tplc="C944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B23"/>
    <w:multiLevelType w:val="multilevel"/>
    <w:tmpl w:val="11820CCE"/>
    <w:numStyleLink w:val="FormatvorlageAufgezhlt"/>
  </w:abstractNum>
  <w:abstractNum w:abstractNumId="21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67826"/>
    <w:multiLevelType w:val="hybridMultilevel"/>
    <w:tmpl w:val="3DF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03C3"/>
    <w:multiLevelType w:val="multilevel"/>
    <w:tmpl w:val="11820CCE"/>
    <w:numStyleLink w:val="FormatvorlageAufgezhlt"/>
  </w:abstractNum>
  <w:abstractNum w:abstractNumId="30" w15:restartNumberingAfterBreak="0">
    <w:nsid w:val="6C6C4721"/>
    <w:multiLevelType w:val="multilevel"/>
    <w:tmpl w:val="11820CCE"/>
    <w:numStyleLink w:val="FormatvorlageAufgezhlt"/>
  </w:abstractNum>
  <w:abstractNum w:abstractNumId="3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5380B"/>
    <w:multiLevelType w:val="multilevel"/>
    <w:tmpl w:val="11820CCE"/>
    <w:numStyleLink w:val="FormatvorlageAufgezhlt"/>
  </w:abstractNum>
  <w:abstractNum w:abstractNumId="3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F7BB6"/>
    <w:multiLevelType w:val="hybridMultilevel"/>
    <w:tmpl w:val="CD3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67DCE">
      <w:numFmt w:val="bullet"/>
      <w:lvlText w:val="-"/>
      <w:lvlJc w:val="left"/>
      <w:pPr>
        <w:ind w:left="1788" w:hanging="708"/>
      </w:pPr>
      <w:rPr>
        <w:rFonts w:ascii="Invesco Interstate Light" w:eastAsia="MS Mincho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6"/>
  </w:num>
  <w:num w:numId="3" w16cid:durableId="1282105589">
    <w:abstractNumId w:val="26"/>
  </w:num>
  <w:num w:numId="4" w16cid:durableId="1617441895">
    <w:abstractNumId w:val="17"/>
  </w:num>
  <w:num w:numId="5" w16cid:durableId="1267425896">
    <w:abstractNumId w:val="20"/>
  </w:num>
  <w:num w:numId="6" w16cid:durableId="1792238606">
    <w:abstractNumId w:val="29"/>
  </w:num>
  <w:num w:numId="7" w16cid:durableId="190919629">
    <w:abstractNumId w:val="30"/>
  </w:num>
  <w:num w:numId="8" w16cid:durableId="2083285618">
    <w:abstractNumId w:val="1"/>
  </w:num>
  <w:num w:numId="9" w16cid:durableId="1653213567">
    <w:abstractNumId w:val="32"/>
  </w:num>
  <w:num w:numId="10" w16cid:durableId="849561851">
    <w:abstractNumId w:val="14"/>
  </w:num>
  <w:num w:numId="11" w16cid:durableId="1899129255">
    <w:abstractNumId w:val="5"/>
  </w:num>
  <w:num w:numId="12" w16cid:durableId="1348407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8"/>
  </w:num>
  <w:num w:numId="14" w16cid:durableId="2009676695">
    <w:abstractNumId w:val="39"/>
  </w:num>
  <w:num w:numId="15" w16cid:durableId="1629623239">
    <w:abstractNumId w:val="25"/>
  </w:num>
  <w:num w:numId="16" w16cid:durableId="1975720235">
    <w:abstractNumId w:val="9"/>
  </w:num>
  <w:num w:numId="17" w16cid:durableId="103501300">
    <w:abstractNumId w:val="2"/>
  </w:num>
  <w:num w:numId="18" w16cid:durableId="1434014312">
    <w:abstractNumId w:val="28"/>
  </w:num>
  <w:num w:numId="19" w16cid:durableId="832065860">
    <w:abstractNumId w:val="31"/>
  </w:num>
  <w:num w:numId="20" w16cid:durableId="667943464">
    <w:abstractNumId w:val="36"/>
  </w:num>
  <w:num w:numId="21" w16cid:durableId="225343112">
    <w:abstractNumId w:val="34"/>
  </w:num>
  <w:num w:numId="22" w16cid:durableId="1319532336">
    <w:abstractNumId w:val="13"/>
  </w:num>
  <w:num w:numId="23" w16cid:durableId="1341154147">
    <w:abstractNumId w:val="24"/>
  </w:num>
  <w:num w:numId="24" w16cid:durableId="796413596">
    <w:abstractNumId w:val="18"/>
  </w:num>
  <w:num w:numId="25" w16cid:durableId="2010979537">
    <w:abstractNumId w:val="37"/>
  </w:num>
  <w:num w:numId="26" w16cid:durableId="951936802">
    <w:abstractNumId w:val="23"/>
  </w:num>
  <w:num w:numId="27" w16cid:durableId="1672954226">
    <w:abstractNumId w:val="3"/>
  </w:num>
  <w:num w:numId="28" w16cid:durableId="953906591">
    <w:abstractNumId w:val="7"/>
  </w:num>
  <w:num w:numId="29" w16cid:durableId="923606003">
    <w:abstractNumId w:val="33"/>
  </w:num>
  <w:num w:numId="30" w16cid:durableId="251279824">
    <w:abstractNumId w:val="11"/>
  </w:num>
  <w:num w:numId="31" w16cid:durableId="561334413">
    <w:abstractNumId w:val="8"/>
  </w:num>
  <w:num w:numId="32" w16cid:durableId="1464276347">
    <w:abstractNumId w:val="15"/>
  </w:num>
  <w:num w:numId="33" w16cid:durableId="514879310">
    <w:abstractNumId w:val="22"/>
  </w:num>
  <w:num w:numId="34" w16cid:durableId="511531335">
    <w:abstractNumId w:val="19"/>
  </w:num>
  <w:num w:numId="35" w16cid:durableId="1821118983">
    <w:abstractNumId w:val="21"/>
  </w:num>
  <w:num w:numId="36" w16cid:durableId="1789934776">
    <w:abstractNumId w:val="6"/>
  </w:num>
  <w:num w:numId="37" w16cid:durableId="1800874279">
    <w:abstractNumId w:val="12"/>
  </w:num>
  <w:num w:numId="38" w16cid:durableId="1039015436">
    <w:abstractNumId w:val="35"/>
  </w:num>
  <w:num w:numId="39" w16cid:durableId="1411855782">
    <w:abstractNumId w:val="27"/>
  </w:num>
  <w:num w:numId="40" w16cid:durableId="168074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4FDE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A79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5E26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1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5AD0"/>
    <w:rsid w:val="001C6667"/>
    <w:rsid w:val="001C7C8D"/>
    <w:rsid w:val="001D1073"/>
    <w:rsid w:val="001D13A0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1C75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07"/>
    <w:rsid w:val="001F76CC"/>
    <w:rsid w:val="001F7844"/>
    <w:rsid w:val="0020026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3EC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B98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56ADD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38E5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0BB"/>
    <w:rsid w:val="003C4187"/>
    <w:rsid w:val="003C4547"/>
    <w:rsid w:val="003C4BC7"/>
    <w:rsid w:val="003C5061"/>
    <w:rsid w:val="003C520C"/>
    <w:rsid w:val="003C60D8"/>
    <w:rsid w:val="003C60F5"/>
    <w:rsid w:val="003C62E9"/>
    <w:rsid w:val="003C670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88D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957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460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97E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0D1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1766"/>
    <w:rsid w:val="005627A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3BC8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35AE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26B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0E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971A5"/>
    <w:rsid w:val="007A04B9"/>
    <w:rsid w:val="007A11B5"/>
    <w:rsid w:val="007A14F7"/>
    <w:rsid w:val="007A1634"/>
    <w:rsid w:val="007A2376"/>
    <w:rsid w:val="007A327D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4A9D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008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32"/>
    <w:rsid w:val="007D6ED1"/>
    <w:rsid w:val="007D6FDE"/>
    <w:rsid w:val="007D71D8"/>
    <w:rsid w:val="007E0B25"/>
    <w:rsid w:val="007E0FCD"/>
    <w:rsid w:val="007E117B"/>
    <w:rsid w:val="007E12FD"/>
    <w:rsid w:val="007E1350"/>
    <w:rsid w:val="007E21E9"/>
    <w:rsid w:val="007E31FF"/>
    <w:rsid w:val="007E46DD"/>
    <w:rsid w:val="007E54BA"/>
    <w:rsid w:val="007E56F4"/>
    <w:rsid w:val="007E61AE"/>
    <w:rsid w:val="007E6FF3"/>
    <w:rsid w:val="007F0994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17"/>
    <w:rsid w:val="00835AD6"/>
    <w:rsid w:val="0083615A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303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495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4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514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34A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B80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90A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B8A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64B7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942"/>
    <w:rsid w:val="00A92D5D"/>
    <w:rsid w:val="00A931A7"/>
    <w:rsid w:val="00A93D88"/>
    <w:rsid w:val="00A940A3"/>
    <w:rsid w:val="00A944F7"/>
    <w:rsid w:val="00A94F94"/>
    <w:rsid w:val="00A95240"/>
    <w:rsid w:val="00A95DFC"/>
    <w:rsid w:val="00A95F18"/>
    <w:rsid w:val="00A97799"/>
    <w:rsid w:val="00AA0359"/>
    <w:rsid w:val="00AA07C0"/>
    <w:rsid w:val="00AA0E30"/>
    <w:rsid w:val="00AA1965"/>
    <w:rsid w:val="00AA1A1F"/>
    <w:rsid w:val="00AA2953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31D"/>
    <w:rsid w:val="00B375ED"/>
    <w:rsid w:val="00B375F5"/>
    <w:rsid w:val="00B3774B"/>
    <w:rsid w:val="00B37BCF"/>
    <w:rsid w:val="00B402F8"/>
    <w:rsid w:val="00B4053F"/>
    <w:rsid w:val="00B41018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4C9F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062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B90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2111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1C0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65C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979"/>
    <w:rsid w:val="00CC4E05"/>
    <w:rsid w:val="00CC5770"/>
    <w:rsid w:val="00CC68B0"/>
    <w:rsid w:val="00CC69AE"/>
    <w:rsid w:val="00CC6CE7"/>
    <w:rsid w:val="00CD09AE"/>
    <w:rsid w:val="00CD1333"/>
    <w:rsid w:val="00CD1431"/>
    <w:rsid w:val="00CD16C0"/>
    <w:rsid w:val="00CD2CB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47C4F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16F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3DB9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6C39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168A"/>
    <w:rsid w:val="00E124CB"/>
    <w:rsid w:val="00E133F7"/>
    <w:rsid w:val="00E13780"/>
    <w:rsid w:val="00E13BED"/>
    <w:rsid w:val="00E14302"/>
    <w:rsid w:val="00E1452B"/>
    <w:rsid w:val="00E153B3"/>
    <w:rsid w:val="00E15BC5"/>
    <w:rsid w:val="00E16340"/>
    <w:rsid w:val="00E1713C"/>
    <w:rsid w:val="00E175C9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450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32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78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3F4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0E2"/>
    <w:rsid w:val="00FB731F"/>
    <w:rsid w:val="00FC078D"/>
    <w:rsid w:val="00FC0C43"/>
    <w:rsid w:val="00FC104A"/>
    <w:rsid w:val="00FC2102"/>
    <w:rsid w:val="00FC2B35"/>
    <w:rsid w:val="00FC3629"/>
    <w:rsid w:val="00FC3806"/>
    <w:rsid w:val="00FC3C00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62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A6B3-D168-4585-B88B-E5276F67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2025-08-12T10:40:00Z</dcterms:created>
  <dcterms:modified xsi:type="dcterms:W3CDTF">2025-08-12T10:40:00Z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